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2D1A37" w14:paraId="4C4B402E" w14:textId="77777777" w:rsidTr="002D1A37">
        <w:tc>
          <w:tcPr>
            <w:tcW w:w="4608" w:type="dxa"/>
          </w:tcPr>
          <w:p w14:paraId="4C5FC524" w14:textId="77777777" w:rsidR="002D1A37" w:rsidRDefault="002D1A37" w:rsidP="002D1A37">
            <w:pPr>
              <w:jc w:val="center"/>
              <w:rPr>
                <w:sz w:val="28"/>
                <w:szCs w:val="20"/>
                <w:lang w:eastAsia="ru-RU"/>
              </w:rPr>
            </w:pPr>
          </w:p>
        </w:tc>
        <w:tc>
          <w:tcPr>
            <w:tcW w:w="4608" w:type="dxa"/>
          </w:tcPr>
          <w:p w14:paraId="0A0AAD00" w14:textId="77777777" w:rsidR="007A0419" w:rsidRDefault="007A0419" w:rsidP="007A0419">
            <w:pPr>
              <w:jc w:val="center"/>
              <w:rPr>
                <w:sz w:val="28"/>
                <w:szCs w:val="20"/>
                <w:lang w:eastAsia="ru-RU"/>
              </w:rPr>
            </w:pPr>
            <w:r>
              <w:rPr>
                <w:sz w:val="28"/>
                <w:szCs w:val="20"/>
                <w:lang w:eastAsia="ru-RU"/>
              </w:rPr>
              <w:t>Приложение</w:t>
            </w:r>
            <w:r w:rsidR="00606F86">
              <w:rPr>
                <w:sz w:val="28"/>
                <w:szCs w:val="20"/>
                <w:lang w:eastAsia="ru-RU"/>
              </w:rPr>
              <w:t xml:space="preserve"> к </w:t>
            </w:r>
            <w:r>
              <w:rPr>
                <w:sz w:val="28"/>
                <w:szCs w:val="20"/>
                <w:lang w:eastAsia="ru-RU"/>
              </w:rPr>
              <w:t>документу</w:t>
            </w:r>
            <w:r w:rsidR="00606F86">
              <w:rPr>
                <w:sz w:val="28"/>
                <w:szCs w:val="20"/>
                <w:lang w:eastAsia="ru-RU"/>
              </w:rPr>
              <w:t xml:space="preserve"> </w:t>
            </w:r>
          </w:p>
          <w:p w14:paraId="0AAF8DE1" w14:textId="5DFBF515" w:rsidR="007A0419" w:rsidRPr="007A0419" w:rsidRDefault="007A0419" w:rsidP="007A0419">
            <w:pPr>
              <w:jc w:val="center"/>
              <w:rPr>
                <w:bCs/>
                <w:sz w:val="28"/>
                <w:szCs w:val="20"/>
                <w:lang w:eastAsia="ru-RU"/>
              </w:rPr>
            </w:pPr>
            <w:r w:rsidRPr="007A0419">
              <w:rPr>
                <w:bCs/>
                <w:sz w:val="28"/>
                <w:szCs w:val="20"/>
                <w:lang w:eastAsia="ru-RU"/>
              </w:rPr>
              <w:t>ОП 1</w:t>
            </w:r>
            <w:r>
              <w:rPr>
                <w:bCs/>
                <w:sz w:val="28"/>
                <w:szCs w:val="20"/>
                <w:lang w:eastAsia="ru-RU"/>
              </w:rPr>
              <w:t>7-2022</w:t>
            </w:r>
            <w:r>
              <w:rPr>
                <w:bCs/>
                <w:sz w:val="28"/>
                <w:szCs w:val="20"/>
                <w:lang w:eastAsia="ru-RU"/>
              </w:rPr>
              <w:t xml:space="preserve"> </w:t>
            </w:r>
            <w:bookmarkStart w:id="0" w:name="_GoBack"/>
            <w:bookmarkEnd w:id="0"/>
            <w:r>
              <w:rPr>
                <w:bCs/>
                <w:sz w:val="28"/>
                <w:szCs w:val="20"/>
                <w:lang w:eastAsia="ru-RU"/>
              </w:rPr>
              <w:t>«</w:t>
            </w:r>
            <w:r w:rsidRPr="007A0419">
              <w:rPr>
                <w:bCs/>
                <w:sz w:val="28"/>
                <w:szCs w:val="20"/>
                <w:lang w:eastAsia="ru-RU"/>
              </w:rPr>
              <w:t>Обобщение практики применения МСФО на территории Российской Федерации</w:t>
            </w:r>
            <w:r>
              <w:rPr>
                <w:bCs/>
                <w:sz w:val="28"/>
                <w:szCs w:val="20"/>
                <w:lang w:eastAsia="ru-RU"/>
              </w:rPr>
              <w:t>»</w:t>
            </w:r>
            <w:r w:rsidRPr="007A0419">
              <w:rPr>
                <w:bCs/>
                <w:sz w:val="28"/>
                <w:szCs w:val="20"/>
                <w:lang w:eastAsia="ru-RU"/>
              </w:rPr>
              <w:t xml:space="preserve"> </w:t>
            </w:r>
          </w:p>
          <w:p w14:paraId="111ACD86" w14:textId="6EB401A2" w:rsidR="002D1A37" w:rsidRDefault="002D1A37" w:rsidP="002D1A37">
            <w:pPr>
              <w:jc w:val="center"/>
              <w:rPr>
                <w:sz w:val="28"/>
                <w:szCs w:val="20"/>
                <w:lang w:eastAsia="ru-RU"/>
              </w:rPr>
            </w:pPr>
          </w:p>
        </w:tc>
      </w:tr>
    </w:tbl>
    <w:p w14:paraId="6836AE6D" w14:textId="77777777" w:rsidR="002D1A37" w:rsidRDefault="002D1A37" w:rsidP="00647C16">
      <w:pPr>
        <w:rPr>
          <w:b/>
        </w:rPr>
      </w:pPr>
    </w:p>
    <w:p w14:paraId="75A8180A" w14:textId="77777777" w:rsidR="002D1A37" w:rsidRDefault="002D1A37" w:rsidP="00647C16">
      <w:pPr>
        <w:rPr>
          <w:b/>
        </w:rPr>
      </w:pPr>
    </w:p>
    <w:p w14:paraId="70C30F30" w14:textId="1071B7E2" w:rsidR="00647C16" w:rsidRDefault="005251DA" w:rsidP="00647C16">
      <w:r w:rsidRPr="000E6DCE">
        <w:rPr>
          <w:b/>
        </w:rPr>
        <w:t>Первоначальное применение МСФО (IFRS) 17 и МСФО (IFRS) 9 — Сравнительная информация</w:t>
      </w:r>
      <w:r w:rsidRPr="000E6DCE">
        <w:br/>
      </w:r>
      <w:r w:rsidRPr="000E6DCE">
        <w:br/>
        <w:t>Поправка к МСФО (IFRS) 17</w:t>
      </w:r>
    </w:p>
    <w:p w14:paraId="651C87F5" w14:textId="77777777" w:rsidR="00647C16" w:rsidRDefault="00647C16" w:rsidP="00647C16"/>
    <w:p w14:paraId="0FD01107" w14:textId="0203C155" w:rsidR="0025191C" w:rsidRPr="000E6DCE" w:rsidRDefault="005251DA" w:rsidP="00647C16">
      <w:r w:rsidRPr="000E6DCE">
        <w:t xml:space="preserve">Поправка к МСФО (IFRS) 17 </w:t>
      </w:r>
      <w:r w:rsidRPr="000E6DCE">
        <w:rPr>
          <w:i/>
        </w:rPr>
        <w:t>«Договоры страхования»</w:t>
      </w:r>
    </w:p>
    <w:p w14:paraId="0FD01108" w14:textId="77777777" w:rsidR="0025191C" w:rsidRPr="000E6DCE" w:rsidRDefault="0025191C">
      <w:pPr>
        <w:pStyle w:val="IASBNormalnpara"/>
      </w:pPr>
    </w:p>
    <w:tbl>
      <w:tblPr>
        <w:tblW w:w="0" w:type="auto"/>
        <w:tblBorders>
          <w:top w:val="single" w:sz="0" w:space="0" w:color="auto"/>
          <w:left w:val="single" w:sz="0" w:space="0" w:color="auto"/>
          <w:bottom w:val="single" w:sz="0" w:space="0" w:color="auto"/>
          <w:right w:val="single" w:sz="0" w:space="0" w:color="auto"/>
        </w:tblBorders>
        <w:tblCellMar>
          <w:bottom w:w="113" w:type="dxa"/>
        </w:tblCellMar>
        <w:tblLook w:val="04A0" w:firstRow="1" w:lastRow="0" w:firstColumn="1" w:lastColumn="0" w:noHBand="0" w:noVBand="1"/>
      </w:tblPr>
      <w:tblGrid>
        <w:gridCol w:w="9216"/>
      </w:tblGrid>
      <w:tr w:rsidR="0025191C" w:rsidRPr="000E6DCE" w14:paraId="0FD0110A" w14:textId="77777777" w:rsidTr="00F76C56">
        <w:tc>
          <w:tcPr>
            <w:tcW w:w="50" w:type="pct"/>
            <w:tcBorders>
              <w:bottom w:val="single" w:sz="0" w:space="0" w:color="auto"/>
              <w:right w:val="single" w:sz="0" w:space="0" w:color="auto"/>
            </w:tcBorders>
          </w:tcPr>
          <w:p w14:paraId="0FD01109" w14:textId="77777777" w:rsidR="0025191C" w:rsidRPr="000E6DCE" w:rsidRDefault="005251DA">
            <w:pPr>
              <w:pStyle w:val="IASBTableArial"/>
            </w:pPr>
            <w:r w:rsidRPr="000E6DCE">
              <w:t>Пункты C2A, C28A–C28E, C33A и заголовок перед пунктом C28A добавлены. Для удобства чтения текст данных пунктов не был подчеркнут. Пункт C29 изменен не был, его текст выделен серым и включен в настоящий документ только для удобства чтения.</w:t>
            </w:r>
          </w:p>
        </w:tc>
      </w:tr>
    </w:tbl>
    <w:p w14:paraId="0FD0110B" w14:textId="77777777" w:rsidR="0025191C" w:rsidRPr="000E6DCE" w:rsidRDefault="0025191C">
      <w:pPr>
        <w:pStyle w:val="IASBNormalnpara"/>
      </w:pPr>
    </w:p>
    <w:p w14:paraId="0FD0110C" w14:textId="77777777" w:rsidR="0025191C" w:rsidRPr="000E6DCE" w:rsidRDefault="005251DA">
      <w:pPr>
        <w:pStyle w:val="IASBSectionTitle2NonInd"/>
      </w:pPr>
      <w:r w:rsidRPr="000E6DCE">
        <w:t>Приложение C</w:t>
      </w:r>
      <w:r w:rsidRPr="000E6DCE">
        <w:br/>
        <w:t>Дата вступления в силу и переходные положения</w:t>
      </w:r>
    </w:p>
    <w:p w14:paraId="0FD0110D" w14:textId="77777777" w:rsidR="0025191C" w:rsidRPr="000E6DCE" w:rsidRDefault="005251DA">
      <w:pPr>
        <w:pStyle w:val="IASBNormalnpara"/>
      </w:pPr>
      <w:r w:rsidRPr="000E6DCE">
        <w:tab/>
        <w:t>...</w:t>
      </w:r>
    </w:p>
    <w:p w14:paraId="0FD0110E" w14:textId="77777777" w:rsidR="0025191C" w:rsidRPr="000E6DCE" w:rsidRDefault="005251DA">
      <w:pPr>
        <w:pStyle w:val="IASBSectionTitle1NonInd"/>
      </w:pPr>
      <w:r w:rsidRPr="000E6DCE">
        <w:t>Дата вступления в силу</w:t>
      </w:r>
    </w:p>
    <w:p w14:paraId="0FD0110F" w14:textId="77777777" w:rsidR="0025191C" w:rsidRPr="000E6DCE" w:rsidRDefault="005251DA">
      <w:pPr>
        <w:pStyle w:val="IASBNormalnpara"/>
      </w:pPr>
      <w:r w:rsidRPr="000E6DCE">
        <w:tab/>
        <w:t>...</w:t>
      </w:r>
    </w:p>
    <w:p w14:paraId="0FD01110" w14:textId="77777777" w:rsidR="0025191C" w:rsidRPr="000E6DCE" w:rsidRDefault="005251DA">
      <w:pPr>
        <w:pStyle w:val="IASBNormalnpara"/>
      </w:pPr>
      <w:r w:rsidRPr="000E6DCE">
        <w:t>C2A</w:t>
      </w:r>
      <w:r w:rsidRPr="000E6DCE">
        <w:tab/>
        <w:t xml:space="preserve">Документом </w:t>
      </w:r>
      <w:r w:rsidRPr="000E6DCE">
        <w:rPr>
          <w:i/>
        </w:rPr>
        <w:t>«Первоначальное применение МСФО (IFRS) 17 и МСФО (IFRS) 9 — Сравнительная информация»</w:t>
      </w:r>
      <w:r w:rsidRPr="000E6DCE">
        <w:t>, выпущенным в декабре 2021 года, добавлены пункты C28A–C28E и пункт C33A. Организация, которая решит применять пункты C28A–C28E и пункт C33A должна применять их при первоначальном применении МСФО (IFRS) 17.</w:t>
      </w:r>
    </w:p>
    <w:p w14:paraId="0FD01111" w14:textId="77777777" w:rsidR="0025191C" w:rsidRPr="000E6DCE" w:rsidRDefault="005251DA">
      <w:pPr>
        <w:pStyle w:val="IASBSectionTitle1NonInd"/>
      </w:pPr>
      <w:r w:rsidRPr="000E6DCE">
        <w:t>Переходные положения</w:t>
      </w:r>
    </w:p>
    <w:p w14:paraId="0FD01112" w14:textId="77777777" w:rsidR="0025191C" w:rsidRPr="000E6DCE" w:rsidRDefault="005251DA">
      <w:pPr>
        <w:pStyle w:val="IASBNormalnpara"/>
      </w:pPr>
      <w:r w:rsidRPr="000E6DCE">
        <w:tab/>
        <w:t>...</w:t>
      </w:r>
    </w:p>
    <w:p w14:paraId="0FD01113" w14:textId="77777777" w:rsidR="0025191C" w:rsidRPr="000E6DCE" w:rsidRDefault="005251DA">
      <w:pPr>
        <w:pStyle w:val="IASBSectionTitle2Ind"/>
      </w:pPr>
      <w:r w:rsidRPr="000E6DCE">
        <w:t>Сравнительная информация</w:t>
      </w:r>
    </w:p>
    <w:p w14:paraId="0FD01114" w14:textId="77777777" w:rsidR="0025191C" w:rsidRPr="000E6DCE" w:rsidRDefault="005251DA">
      <w:pPr>
        <w:pStyle w:val="IASBNormalnpara"/>
      </w:pPr>
      <w:r w:rsidRPr="000E6DCE">
        <w:tab/>
        <w:t>...</w:t>
      </w:r>
    </w:p>
    <w:p w14:paraId="0FD01115" w14:textId="77777777" w:rsidR="0025191C" w:rsidRPr="000E6DCE" w:rsidRDefault="005251DA">
      <w:pPr>
        <w:pStyle w:val="IASBSectionTitle3Ind"/>
      </w:pPr>
      <w:r w:rsidRPr="000E6DCE">
        <w:t>Организации, которые впервые применяют МСФО (IFRS) 17 и МСФО (IFRS) 9 одновременно</w:t>
      </w:r>
    </w:p>
    <w:p w14:paraId="0FD01116" w14:textId="06AC08C6" w:rsidR="0025191C" w:rsidRPr="000E6DCE" w:rsidRDefault="005251DA">
      <w:pPr>
        <w:pStyle w:val="IASBNormalnpara"/>
      </w:pPr>
      <w:r w:rsidRPr="000E6DCE">
        <w:t>C28A</w:t>
      </w:r>
      <w:r w:rsidRPr="000E6DCE">
        <w:tab/>
        <w:t>Организации, которая впервые применяет МСФО (IFRS) 17 и МСФО (IFRS) 9 одновременно, разрешается применять пункты C28B–C28E (о классификаци</w:t>
      </w:r>
      <w:r w:rsidR="000E6DCE" w:rsidRPr="000E6DCE">
        <w:t>онном наложении</w:t>
      </w:r>
      <w:r w:rsidRPr="000E6DCE">
        <w:t>) для целей представления сравнительной информации о финансовом активе, если сравнительная информация по этому финансовому активу не пересчитывалась для целей применения МСФО (IFRS) 9. Сравнительная информация по финансовому активу не будет пересчитываться для целей применения МСФО (IFRS) 9, если организация решит не пересчитывать информацию за прошлые периоды (см. пункт 7.2.15 МСФО (IFRS) 9) либо если организация пересчитывает информацию за прошлые периоды, но признание финансового актива было прекращено в эти прошлые периоды (см. пункт 7.2.1 МСФО (IFRS) 9).</w:t>
      </w:r>
    </w:p>
    <w:p w14:paraId="0FD01117" w14:textId="7B5C3EF3" w:rsidR="0025191C" w:rsidRPr="000E6DCE" w:rsidRDefault="005251DA">
      <w:pPr>
        <w:pStyle w:val="IASBNormalnpara"/>
      </w:pPr>
      <w:r w:rsidRPr="000E6DCE">
        <w:lastRenderedPageBreak/>
        <w:t>C28B</w:t>
      </w:r>
      <w:r w:rsidRPr="000E6DCE">
        <w:tab/>
        <w:t>Организация, применяющая классификаци</w:t>
      </w:r>
      <w:r w:rsidR="000E6DCE" w:rsidRPr="000E6DCE">
        <w:t>онное наложение</w:t>
      </w:r>
      <w:r w:rsidRPr="000E6DCE">
        <w:t xml:space="preserve"> в отношении финансового актива, должна представлять сравнительную информацию, как если бы к этому финансовому активу применялись требования МСФО (IFRS) 9 в части классификации и оценки. Организация должна использовать обоснованную и подтверждаемую информацию, доступную на дату перехода (см. пункт C2(b)), чтобы определить, как организация планирует классифицировать и оценивать финансовый актив при первоначальном применении МСФО (IFRS) 9 (например, организация могла бы использовать предварительную оценку, проводимую для подготовки к первоначальному применению МСФО (IFRS) 9).</w:t>
      </w:r>
    </w:p>
    <w:p w14:paraId="0FD01118" w14:textId="7829A10D" w:rsidR="0025191C" w:rsidRPr="000E6DCE" w:rsidRDefault="005251DA">
      <w:pPr>
        <w:pStyle w:val="IASBNormalnpara"/>
      </w:pPr>
      <w:r w:rsidRPr="000E6DCE">
        <w:t>C28C</w:t>
      </w:r>
      <w:r w:rsidRPr="000E6DCE">
        <w:tab/>
        <w:t>При применении классификаци</w:t>
      </w:r>
      <w:r w:rsidR="000E6DCE" w:rsidRPr="000E6DCE">
        <w:t>онного наложения</w:t>
      </w:r>
      <w:r w:rsidRPr="000E6DCE">
        <w:t xml:space="preserve"> к финансовому активу организация не обязана применять требования к обесценению в Разделе 5.5 МСФО (IFRS) 9. Если исходя из классификации, определенной в соответствии с пунктом C28B, к финансовому активу должны применяться требования к обесценению в Разделе 5.5 МСФО (IFRS) 9, но организация не применяет эти требования в результате классификаци</w:t>
      </w:r>
      <w:r w:rsidR="000E6DCE" w:rsidRPr="000E6DCE">
        <w:t>онного наложения</w:t>
      </w:r>
      <w:r w:rsidRPr="000E6DCE">
        <w:t xml:space="preserve">, организация должна продолжать представлять все суммы, признанные в отношении обесценения в прошлых периодах в соответствии с МСФО (IAS) 39 </w:t>
      </w:r>
      <w:r w:rsidRPr="000E6DCE">
        <w:rPr>
          <w:i/>
        </w:rPr>
        <w:t>«Финансовые инструменты: признание и оценка»</w:t>
      </w:r>
      <w:r w:rsidRPr="000E6DCE">
        <w:t>. В противном случае все эти суммы должны быть восстановлены.</w:t>
      </w:r>
    </w:p>
    <w:p w14:paraId="0FD01119" w14:textId="77777777" w:rsidR="0025191C" w:rsidRPr="000E6DCE" w:rsidRDefault="005251DA">
      <w:pPr>
        <w:pStyle w:val="IASBNormalnpara"/>
      </w:pPr>
      <w:r w:rsidRPr="000E6DCE">
        <w:t>C28D</w:t>
      </w:r>
      <w:r w:rsidRPr="000E6DCE">
        <w:tab/>
        <w:t>Любая разница между прежней балансовой стоимостью финансового актива и балансовой стоимостью на дату перехода, полученной в результате применения пунктов C28B–C28C, должна признаваться в составе вступительного сальдо нераспределенной прибыли (или другого компонента собственного капитала, в зависимости от ситуации) на дату перехода.</w:t>
      </w:r>
    </w:p>
    <w:p w14:paraId="0FD0111A" w14:textId="77777777" w:rsidR="0025191C" w:rsidRPr="000E6DCE" w:rsidRDefault="005251DA">
      <w:pPr>
        <w:pStyle w:val="IASBNormalnpara"/>
      </w:pPr>
      <w:r w:rsidRPr="000E6DCE">
        <w:t>C28E</w:t>
      </w:r>
      <w:r w:rsidRPr="000E6DCE">
        <w:tab/>
        <w:t>Организация, которая применяет пункты C28B–C28D, должна:</w:t>
      </w:r>
    </w:p>
    <w:p w14:paraId="0FD0111B" w14:textId="77777777" w:rsidR="0025191C" w:rsidRPr="000E6DCE" w:rsidRDefault="005251DA">
      <w:pPr>
        <w:pStyle w:val="IASBNormalnparaL1"/>
      </w:pPr>
      <w:r w:rsidRPr="000E6DCE">
        <w:t>(a)</w:t>
      </w:r>
      <w:r w:rsidRPr="000E6DCE">
        <w:tab/>
        <w:t>раскрыть качественную информацию, позволяющую пользователям финансовой отчетности понять следующее:</w:t>
      </w:r>
    </w:p>
    <w:p w14:paraId="0FD0111C" w14:textId="53EDBB46" w:rsidR="0025191C" w:rsidRPr="000E6DCE" w:rsidRDefault="005251DA">
      <w:pPr>
        <w:pStyle w:val="IASBNormalnparaL2"/>
      </w:pPr>
      <w:r w:rsidRPr="000E6DCE">
        <w:t>(i)</w:t>
      </w:r>
      <w:r w:rsidRPr="000E6DCE">
        <w:tab/>
        <w:t>в какой мере было применено классификаци</w:t>
      </w:r>
      <w:r w:rsidR="000E6DCE" w:rsidRPr="000E6DCE">
        <w:t>онное наложение</w:t>
      </w:r>
      <w:r w:rsidRPr="000E6DCE">
        <w:t xml:space="preserve"> (например, применялось ли оно ко всем финансовым активам, признание которых было прекращено в сравнительном периоде);</w:t>
      </w:r>
    </w:p>
    <w:p w14:paraId="0FD0111D" w14:textId="77777777" w:rsidR="0025191C" w:rsidRPr="000E6DCE" w:rsidRDefault="005251DA">
      <w:pPr>
        <w:pStyle w:val="IASBNormalnparaL2"/>
      </w:pPr>
      <w:r w:rsidRPr="000E6DCE">
        <w:t>(ii)</w:t>
      </w:r>
      <w:r w:rsidRPr="000E6DCE">
        <w:tab/>
        <w:t>применялись ли требования Раздела 5.5 МСФО (IFRS) 9 в отношении обесценения и в какой степени (см. пункт C28C);</w:t>
      </w:r>
    </w:p>
    <w:p w14:paraId="0FD0111E" w14:textId="77777777" w:rsidR="0025191C" w:rsidRPr="000E6DCE" w:rsidRDefault="005251DA">
      <w:pPr>
        <w:pStyle w:val="IASBNormalnparaL1"/>
      </w:pPr>
      <w:r w:rsidRPr="000E6DCE">
        <w:t>(b)</w:t>
      </w:r>
      <w:r w:rsidRPr="000E6DCE">
        <w:tab/>
        <w:t>применять эти пункты только к сравнительной информации за отчетные периоды между датой перехода на МСФО (IFRS) 17 и датой первоначального применения МСФО (IFRS) 17 (см. пункты C2 и C25); и</w:t>
      </w:r>
    </w:p>
    <w:p w14:paraId="0FD0111F" w14:textId="77777777" w:rsidR="0025191C" w:rsidRPr="000E6DCE" w:rsidRDefault="005251DA">
      <w:pPr>
        <w:pStyle w:val="IASBNormalnparaL1"/>
      </w:pPr>
      <w:r w:rsidRPr="000E6DCE">
        <w:t>(c)</w:t>
      </w:r>
      <w:r w:rsidRPr="000E6DCE">
        <w:tab/>
        <w:t xml:space="preserve">на дату первоначального применения МСФО (IFRS) 9 применять переходные требования в МСФО (IFRS) 9 (см. Раздел 7.2 МСФО (IFRS) 9). </w:t>
      </w:r>
    </w:p>
    <w:p w14:paraId="0FD01120" w14:textId="77777777" w:rsidR="0025191C" w:rsidRPr="000E6DCE" w:rsidRDefault="005251DA">
      <w:pPr>
        <w:pStyle w:val="IASBSectionTitle2Ind"/>
        <w:rPr>
          <w:color w:val="7F7F7F" w:themeColor="text1" w:themeTint="80"/>
        </w:rPr>
      </w:pPr>
      <w:r w:rsidRPr="000E6DCE">
        <w:rPr>
          <w:color w:val="7F7F7F" w:themeColor="text1" w:themeTint="80"/>
        </w:rPr>
        <w:t>Изменение классификации финансовых активов по усмотрению организации</w:t>
      </w:r>
    </w:p>
    <w:p w14:paraId="0FD01121" w14:textId="77777777" w:rsidR="0025191C" w:rsidRPr="000E6DCE" w:rsidRDefault="005251DA">
      <w:pPr>
        <w:pStyle w:val="IASBNormalnpara"/>
        <w:rPr>
          <w:color w:val="7F7F7F" w:themeColor="text1" w:themeTint="80"/>
        </w:rPr>
      </w:pPr>
      <w:r w:rsidRPr="000E6DCE">
        <w:rPr>
          <w:color w:val="7F7F7F" w:themeColor="text1" w:themeTint="80"/>
        </w:rPr>
        <w:t>C29</w:t>
      </w:r>
      <w:r w:rsidRPr="000E6DCE">
        <w:rPr>
          <w:color w:val="7F7F7F" w:themeColor="text1" w:themeTint="80"/>
        </w:rPr>
        <w:tab/>
        <w:t>На дату первоначального применения МСФО (IFRS) 17 организация, которая применила МСФО (IFRS) 9 в отношении годовых отчетных периодов до первоначального применения МСФО (IFRS) 17:</w:t>
      </w:r>
    </w:p>
    <w:p w14:paraId="0FD01122" w14:textId="77777777" w:rsidR="0025191C" w:rsidRPr="000E6DCE" w:rsidRDefault="005251DA">
      <w:pPr>
        <w:pStyle w:val="IASBNormalnparaL1"/>
        <w:rPr>
          <w:color w:val="7F7F7F" w:themeColor="text1" w:themeTint="80"/>
        </w:rPr>
      </w:pPr>
      <w:r w:rsidRPr="000E6DCE">
        <w:rPr>
          <w:color w:val="7F7F7F" w:themeColor="text1" w:themeTint="80"/>
        </w:rPr>
        <w:t>(a)</w:t>
      </w:r>
      <w:r w:rsidRPr="000E6DCE">
        <w:rPr>
          <w:color w:val="7F7F7F" w:themeColor="text1" w:themeTint="80"/>
        </w:rPr>
        <w:tab/>
        <w:t>вправе провести повторный анализ того, отвечает ли соответствующий критериям финансовый актив условию в пункте 4.1.2(a) или пункте 4.1.2A(a) МСФО (IFRS) 9. Финансовый актив является соответствующим критериям, только если данный финансовый актив удерживается не для осуществления деятельности, которая не связана с договорами, относящимися к сфере применения МСФО (IFRS) 17. Примерами финансовых активов, которые не будут удовлетворять критериям для повторного анализа, являются финансовые активы, удерживаемые для осуществления банковской деятельности, или финансовые активы, удерживаемые в рамках фондов, связанных с инвестиционными договорами, которые не относятся к сфере применения МСФО (IFRS) 17;</w:t>
      </w:r>
    </w:p>
    <w:p w14:paraId="0FD01123" w14:textId="77777777" w:rsidR="0025191C" w:rsidRPr="000E6DCE" w:rsidRDefault="005251DA">
      <w:pPr>
        <w:pStyle w:val="IASBNormalnparaL1"/>
        <w:rPr>
          <w:color w:val="7F7F7F" w:themeColor="text1" w:themeTint="80"/>
        </w:rPr>
      </w:pPr>
      <w:r w:rsidRPr="000E6DCE">
        <w:rPr>
          <w:color w:val="7F7F7F" w:themeColor="text1" w:themeTint="80"/>
        </w:rPr>
        <w:t>(b)</w:t>
      </w:r>
      <w:r w:rsidRPr="000E6DCE">
        <w:rPr>
          <w:color w:val="7F7F7F" w:themeColor="text1" w:themeTint="80"/>
        </w:rPr>
        <w:tab/>
        <w:t>должна отменить свое предыдущее решение о классификации финансового актива по собственному усмотрению как оцениваемого по справедливой стоимости через прибыль или убыток, если условие пункта 4.1.5 МСФО (IFRS) 9 больше не выполняется вследствие применения МСФО (IFRS) 17;</w:t>
      </w:r>
    </w:p>
    <w:p w14:paraId="0FD01124" w14:textId="77777777" w:rsidR="0025191C" w:rsidRPr="000E6DCE" w:rsidRDefault="005251DA">
      <w:pPr>
        <w:pStyle w:val="IASBNormalnparaL1"/>
        <w:rPr>
          <w:color w:val="7F7F7F" w:themeColor="text1" w:themeTint="80"/>
        </w:rPr>
      </w:pPr>
      <w:r w:rsidRPr="000E6DCE">
        <w:rPr>
          <w:color w:val="7F7F7F" w:themeColor="text1" w:themeTint="80"/>
        </w:rPr>
        <w:t>(c)</w:t>
      </w:r>
      <w:r w:rsidRPr="000E6DCE">
        <w:rPr>
          <w:color w:val="7F7F7F" w:themeColor="text1" w:themeTint="80"/>
        </w:rPr>
        <w:tab/>
        <w:t>вправе по собственному усмотрению классифицировать финансовый актив как оцениваемый по справедливой стоимости через прибыль или убыток, если выполняется условие пункта 4.1.5 МСФО (IFRS) 9;</w:t>
      </w:r>
    </w:p>
    <w:p w14:paraId="0FD01125" w14:textId="77777777" w:rsidR="0025191C" w:rsidRPr="000E6DCE" w:rsidRDefault="005251DA">
      <w:pPr>
        <w:pStyle w:val="IASBNormalnparaL1"/>
        <w:rPr>
          <w:color w:val="7F7F7F" w:themeColor="text1" w:themeTint="80"/>
        </w:rPr>
      </w:pPr>
      <w:r w:rsidRPr="000E6DCE">
        <w:rPr>
          <w:color w:val="7F7F7F" w:themeColor="text1" w:themeTint="80"/>
        </w:rPr>
        <w:lastRenderedPageBreak/>
        <w:t>(d)</w:t>
      </w:r>
      <w:r w:rsidRPr="000E6DCE">
        <w:rPr>
          <w:color w:val="7F7F7F" w:themeColor="text1" w:themeTint="80"/>
        </w:rPr>
        <w:tab/>
        <w:t>вправе по собственному усмотрению классифицировать инвестицию в долевой инструмент как оцениваемую по справедливой стоимости через прочий совокупный доход в соответствии с пунктом 5.7.5 МСФО (IFRS) 9;</w:t>
      </w:r>
    </w:p>
    <w:p w14:paraId="0FD01126" w14:textId="77777777" w:rsidR="0025191C" w:rsidRPr="000E6DCE" w:rsidRDefault="005251DA">
      <w:pPr>
        <w:pStyle w:val="IASBNormalnparaL1"/>
        <w:rPr>
          <w:color w:val="7F7F7F" w:themeColor="text1" w:themeTint="80"/>
        </w:rPr>
      </w:pPr>
      <w:r w:rsidRPr="000E6DCE">
        <w:rPr>
          <w:color w:val="7F7F7F" w:themeColor="text1" w:themeTint="80"/>
        </w:rPr>
        <w:t>(e)</w:t>
      </w:r>
      <w:r w:rsidRPr="000E6DCE">
        <w:rPr>
          <w:color w:val="7F7F7F" w:themeColor="text1" w:themeTint="80"/>
        </w:rPr>
        <w:tab/>
        <w:t>вправе отменить свое предыдущее решение о том, чтобы по собственному усмотрению классифицировать инвестицию в долевой инструмент как оцениваемую по справедливой стоимости через прочий совокупный доход в соответствии с пунктом 5.7.5 МСФО (IFRS) 9.</w:t>
      </w:r>
    </w:p>
    <w:p w14:paraId="0FD01127" w14:textId="77777777" w:rsidR="0025191C" w:rsidRPr="000E6DCE" w:rsidRDefault="005251DA">
      <w:pPr>
        <w:pStyle w:val="IASBNormalnpara"/>
        <w:rPr>
          <w:color w:val="7F7F7F" w:themeColor="text1" w:themeTint="80"/>
        </w:rPr>
      </w:pPr>
      <w:r w:rsidRPr="000E6DCE">
        <w:rPr>
          <w:color w:val="7F7F7F" w:themeColor="text1" w:themeTint="80"/>
        </w:rPr>
        <w:tab/>
        <w:t>...</w:t>
      </w:r>
    </w:p>
    <w:p w14:paraId="0FD01128" w14:textId="66B20D62" w:rsidR="0025191C" w:rsidRDefault="005251DA">
      <w:pPr>
        <w:pStyle w:val="IASBNormalnpara"/>
      </w:pPr>
      <w:r w:rsidRPr="000E6DCE">
        <w:t>C33A</w:t>
      </w:r>
      <w:r w:rsidRPr="000E6DCE">
        <w:tab/>
        <w:t>В случае финансового актива, признание которого было прекращено между датой перехода и датой первоначального применения МСФО (IFRS) 17, организация может применять пункты C28B–C28E (о классификаци</w:t>
      </w:r>
      <w:r w:rsidR="000E6DCE" w:rsidRPr="000E6DCE">
        <w:t>онном наложении</w:t>
      </w:r>
      <w:r w:rsidRPr="000E6DCE">
        <w:t>) для целей представления сравнительной информации, как если бы к этому активу был применен пункт C29. Такая организация должна применять требования пунктов C28B–C28E таким образом, чтобы классификаци</w:t>
      </w:r>
      <w:r w:rsidR="000E6DCE" w:rsidRPr="000E6DCE">
        <w:t>онное наложение</w:t>
      </w:r>
      <w:r w:rsidRPr="000E6DCE">
        <w:t xml:space="preserve"> осуществлялось исходя из ожиданий организации относительно классификации финансового актива с применением пункта C29 на дату первоначального применения МСФО (IFRS) 17.</w:t>
      </w:r>
    </w:p>
    <w:p w14:paraId="0FD01154" w14:textId="77777777" w:rsidR="0025191C" w:rsidRDefault="0025191C"/>
    <w:sectPr w:rsidR="0025191C">
      <w:headerReference w:type="even" r:id="rId9"/>
      <w:headerReference w:type="default" r:id="rId10"/>
      <w:footerReference w:type="even" r:id="rId11"/>
      <w:footerReference w:type="default" r:id="rId12"/>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2EA7" w14:textId="77777777" w:rsidR="008B74E8" w:rsidRDefault="008B74E8">
      <w:r>
        <w:separator/>
      </w:r>
    </w:p>
  </w:endnote>
  <w:endnote w:type="continuationSeparator" w:id="0">
    <w:p w14:paraId="44A5DC7D" w14:textId="77777777" w:rsidR="008B74E8" w:rsidRDefault="008B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116F" w14:textId="144366AE" w:rsidR="0025191C" w:rsidRDefault="005251DA">
    <w:pPr>
      <w:pStyle w:val="a7"/>
    </w:pPr>
    <w:r>
      <w:fldChar w:fldCharType="begin"/>
    </w:r>
    <w:r>
      <w:instrText>PAGE</w:instrText>
    </w:r>
    <w:r>
      <w:fldChar w:fldCharType="separate"/>
    </w:r>
    <w:r w:rsidR="007A0419">
      <w:rPr>
        <w:noProof/>
      </w:rPr>
      <w:t>2</w:t>
    </w:r>
    <w:r>
      <w:fldChar w:fldCharType="end"/>
    </w:r>
    <w:r>
      <w:tab/>
      <w:t>© IFRS Foundation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1170" w14:textId="237E61FE" w:rsidR="0025191C" w:rsidRDefault="005251DA">
    <w:pPr>
      <w:pStyle w:val="a7"/>
    </w:pPr>
    <w:r>
      <w:tab/>
      <w:t>© IFRS Foundation</w:t>
    </w:r>
    <w:r>
      <w:tab/>
    </w:r>
    <w:r>
      <w:fldChar w:fldCharType="begin"/>
    </w:r>
    <w:r>
      <w:instrText>PAGE</w:instrText>
    </w:r>
    <w:r>
      <w:fldChar w:fldCharType="separate"/>
    </w:r>
    <w:r w:rsidR="007A041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E2F9" w14:textId="77777777" w:rsidR="008B74E8" w:rsidRDefault="008B74E8">
      <w:r>
        <w:separator/>
      </w:r>
    </w:p>
  </w:footnote>
  <w:footnote w:type="continuationSeparator" w:id="0">
    <w:p w14:paraId="4E4C6AD5" w14:textId="77777777" w:rsidR="008B74E8" w:rsidRDefault="008B7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116D" w14:textId="77777777" w:rsidR="0025191C" w:rsidRDefault="002519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116E" w14:textId="77777777" w:rsidR="0025191C" w:rsidRDefault="005251DA">
    <w:pPr>
      <w:pStyle w:val="a5"/>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191C"/>
    <w:rsid w:val="00082923"/>
    <w:rsid w:val="000E6DCE"/>
    <w:rsid w:val="0025191C"/>
    <w:rsid w:val="002D1A37"/>
    <w:rsid w:val="005251DA"/>
    <w:rsid w:val="00606F86"/>
    <w:rsid w:val="00647C16"/>
    <w:rsid w:val="006856BB"/>
    <w:rsid w:val="0073502E"/>
    <w:rsid w:val="00773AF1"/>
    <w:rsid w:val="007A0419"/>
    <w:rsid w:val="00865A07"/>
    <w:rsid w:val="0087786B"/>
    <w:rsid w:val="008B74E8"/>
    <w:rsid w:val="00AA2E85"/>
    <w:rsid w:val="00B979C9"/>
    <w:rsid w:val="00BB2F30"/>
    <w:rsid w:val="00C87B39"/>
    <w:rsid w:val="00CB45EE"/>
    <w:rsid w:val="00DB2786"/>
    <w:rsid w:val="00E42E51"/>
    <w:rsid w:val="00EB0686"/>
    <w:rsid w:val="00F76C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010ED"/>
  <w15:docId w15:val="{3A42C792-EB02-419C-B2C4-C03BE207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en-US"/>
    </w:rPr>
  </w:style>
  <w:style w:type="paragraph" w:styleId="1">
    <w:name w:val="heading 1"/>
    <w:basedOn w:val="a"/>
    <w:next w:val="a"/>
    <w:link w:val="10"/>
    <w:uiPriority w:val="9"/>
    <w:qFormat/>
    <w:rsid w:val="007A04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line="240" w:lineRule="auto"/>
      <w:jc w:val="both"/>
    </w:pPr>
    <w:rPr>
      <w:sz w:val="19"/>
      <w:szCs w:val="20"/>
      <w:lang w:eastAsia="en-US"/>
    </w:rPr>
  </w:style>
  <w:style w:type="paragraph" w:customStyle="1" w:styleId="IASBNormalArial">
    <w:name w:val="IASB Normal Arial"/>
    <w:pPr>
      <w:tabs>
        <w:tab w:val="left" w:pos="4253"/>
      </w:tabs>
      <w:spacing w:before="100" w:after="100" w:line="240" w:lineRule="auto"/>
      <w:jc w:val="both"/>
    </w:pPr>
    <w:rPr>
      <w:rFonts w:ascii="Arial" w:hAnsi="Arial"/>
      <w:sz w:val="19"/>
      <w:szCs w:val="20"/>
      <w:lang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rPr>
  </w:style>
  <w:style w:type="paragraph" w:customStyle="1" w:styleId="IASBSectionTitle2NonInd">
    <w:name w:val="IASB Section Title 2 NonInd"/>
    <w:basedOn w:val="a"/>
    <w:pPr>
      <w:keepNext/>
      <w:keepLines/>
      <w:spacing w:before="300" w:after="200"/>
    </w:pPr>
    <w:rPr>
      <w:rFonts w:ascii="Arial" w:hAnsi="Arial" w:cs="Arial"/>
      <w:b/>
      <w:sz w:val="26"/>
      <w:szCs w:val="20"/>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line="240" w:lineRule="auto"/>
    </w:pPr>
    <w:rPr>
      <w:rFonts w:cs="Arial"/>
      <w:sz w:val="36"/>
      <w:szCs w:val="20"/>
      <w:lang w:eastAsia="en-US"/>
    </w:rPr>
  </w:style>
  <w:style w:type="paragraph" w:customStyle="1" w:styleId="IASBNormalnparaL1">
    <w:name w:val="IASB Normal nparaL1"/>
    <w:basedOn w:val="IASBNormalnpara"/>
    <w:pPr>
      <w:ind w:left="1564"/>
    </w:pPr>
  </w:style>
  <w:style w:type="paragraph" w:customStyle="1" w:styleId="IASBNormalArialnparaL1">
    <w:name w:val="IASB Normal Arial nparaL1"/>
    <w:basedOn w:val="IASBNormalnpara"/>
    <w:pPr>
      <w:ind w:left="1564"/>
    </w:pPr>
    <w:rPr>
      <w:rFonts w:ascii="Arial" w:hAnsi="Arial"/>
    </w:r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Primary">
    <w:name w:val="IASB TOC Primary Primary"/>
    <w:basedOn w:val="a"/>
    <w:pPr>
      <w:tabs>
        <w:tab w:val="right" w:pos="8647"/>
      </w:tabs>
      <w:spacing w:before="100" w:after="100"/>
    </w:pPr>
    <w:rPr>
      <w:rFonts w:ascii="Arial" w:hAnsi="Arial" w:cs="Arial"/>
      <w:b/>
      <w:caps/>
      <w:sz w:val="20"/>
      <w:szCs w:val="20"/>
    </w:rPr>
  </w:style>
  <w:style w:type="paragraph" w:customStyle="1" w:styleId="IASBTOCPrimary">
    <w:name w:val="IASB TOC Primary"/>
    <w:basedOn w:val="a"/>
    <w:pPr>
      <w:tabs>
        <w:tab w:val="right" w:pos="8647"/>
      </w:tabs>
      <w:spacing w:before="100" w:after="100"/>
    </w:pPr>
    <w:rPr>
      <w:rFonts w:ascii="Arial" w:hAnsi="Arial" w:cs="Arial"/>
      <w:b/>
      <w:caps/>
      <w:sz w:val="18"/>
      <w:szCs w:val="20"/>
    </w:rPr>
  </w:style>
  <w:style w:type="paragraph" w:customStyle="1" w:styleId="IASBTOCParagraph">
    <w:name w:val="IASB TOC Paragraph"/>
    <w:basedOn w:val="a"/>
    <w:pPr>
      <w:spacing w:before="30" w:after="30"/>
    </w:pPr>
    <w:rPr>
      <w:rFonts w:ascii="Arial" w:hAnsi="Arial" w:cs="Arial"/>
      <w:i/>
      <w:sz w:val="18"/>
      <w:szCs w:val="20"/>
    </w:rPr>
  </w:style>
  <w:style w:type="paragraph" w:customStyle="1" w:styleId="IASBTOCSecondary">
    <w:name w:val="IASB TOC Secondary"/>
    <w:basedOn w:val="a"/>
    <w:pPr>
      <w:tabs>
        <w:tab w:val="right" w:pos="8647"/>
      </w:tabs>
      <w:spacing w:before="30" w:after="30"/>
    </w:pPr>
    <w:rPr>
      <w:rFonts w:ascii="Arial" w:hAnsi="Arial" w:cs="Arial"/>
      <w:b/>
      <w:sz w:val="18"/>
      <w:szCs w:val="20"/>
    </w:rPr>
  </w:style>
  <w:style w:type="paragraph" w:customStyle="1" w:styleId="IASBTOCTertiary">
    <w:name w:val="IASB TOC Tertiary"/>
    <w:basedOn w:val="a"/>
    <w:pPr>
      <w:tabs>
        <w:tab w:val="right" w:pos="8647"/>
      </w:tabs>
      <w:spacing w:before="30" w:after="30"/>
      <w:ind w:left="390"/>
    </w:pPr>
    <w:rPr>
      <w:rFonts w:ascii="Arial" w:hAnsi="Arial" w:cs="Arial"/>
      <w:sz w:val="18"/>
      <w:szCs w:val="20"/>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a3">
    <w:name w:val="footnote reference"/>
    <w:basedOn w:val="a0"/>
    <w:uiPriority w:val="99"/>
    <w:semiHidden/>
    <w:unhideWhenUsed/>
    <w:rPr>
      <w:rFonts w:cs="Times New Roman"/>
      <w:vertAlign w:val="superscript"/>
    </w:rPr>
  </w:style>
  <w:style w:type="paragraph" w:styleId="a4">
    <w:name w:val="footnote text"/>
    <w:basedOn w:val="IASBSectionTitle2Ind"/>
    <w:next w:val="IASBBlockquote"/>
    <w:uiPriority w:val="99"/>
    <w:semiHidden/>
    <w:rsid w:val="00713675"/>
    <w:pPr>
      <w:keepNext w:val="0"/>
      <w:keepLines w:val="0"/>
      <w:spacing w:before="0" w:after="0"/>
      <w:ind w:hanging="782"/>
    </w:pPr>
    <w:rPr>
      <w:rFonts w:ascii="Times New Roman" w:hAnsi="Times New Roman" w:cs="Times New Roman"/>
      <w:b w:val="0"/>
      <w:sz w:val="16"/>
    </w:rPr>
  </w:style>
  <w:style w:type="paragraph" w:customStyle="1" w:styleId="edufootnotetext">
    <w:name w:val="edu footnote text"/>
    <w:basedOn w:val="IASBSectionTitle2Ind"/>
    <w:next w:val="IASBBlockquote"/>
    <w:link w:val="FootnoteTextChar"/>
    <w:uiPriority w:val="99"/>
    <w:semiHidden/>
    <w:rsid w:val="00713675"/>
    <w:pPr>
      <w:keepNext w:val="0"/>
      <w:keepLines w:val="0"/>
      <w:spacing w:before="0" w:after="0"/>
      <w:ind w:hanging="782"/>
    </w:pPr>
    <w:rPr>
      <w:sz w:val="16"/>
    </w:rPr>
  </w:style>
  <w:style w:type="character" w:customStyle="1" w:styleId="FootnoteTextChar">
    <w:name w:val="Footnote Text Char"/>
    <w:basedOn w:val="a0"/>
    <w:link w:val="edufootnotetext"/>
    <w:uiPriority w:val="99"/>
    <w:semiHidden/>
    <w:rPr>
      <w:sz w:val="20"/>
      <w:szCs w:val="20"/>
      <w:lang w:eastAsia="en-US"/>
    </w:rPr>
  </w:style>
  <w:style w:type="paragraph" w:customStyle="1" w:styleId="IASBNormalL1">
    <w:name w:val="IASB Normal L1"/>
    <w:basedOn w:val="IASBNormalnpara"/>
  </w:style>
  <w:style w:type="paragraph" w:customStyle="1" w:styleId="IASBNormalArialL1">
    <w:name w:val="IASB Normal Arial L1"/>
    <w:basedOn w:val="IASBNormalnpara"/>
    <w:rPr>
      <w:rFonts w:ascii="Arial" w:hAnsi="Arial"/>
    </w:rPr>
  </w:style>
  <w:style w:type="paragraph" w:styleId="a5">
    <w:name w:val="header"/>
    <w:basedOn w:val="a"/>
    <w:link w:val="a6"/>
    <w:uiPriority w:val="99"/>
    <w:pPr>
      <w:tabs>
        <w:tab w:val="center" w:pos="4320"/>
        <w:tab w:val="right" w:pos="8640"/>
      </w:tabs>
    </w:pPr>
  </w:style>
  <w:style w:type="character" w:customStyle="1" w:styleId="a6">
    <w:name w:val="Верхний колонтитул Знак"/>
    <w:basedOn w:val="a0"/>
    <w:link w:val="a5"/>
    <w:uiPriority w:val="99"/>
    <w:semiHidden/>
    <w:rPr>
      <w:sz w:val="24"/>
      <w:szCs w:val="24"/>
      <w:lang w:eastAsia="en-US"/>
    </w:rPr>
  </w:style>
  <w:style w:type="paragraph" w:styleId="a7">
    <w:name w:val="footer"/>
    <w:basedOn w:val="a"/>
    <w:link w:val="a8"/>
    <w:uiPriority w:val="99"/>
    <w:pPr>
      <w:tabs>
        <w:tab w:val="center" w:pos="4320"/>
        <w:tab w:val="right" w:pos="8640"/>
      </w:tabs>
    </w:pPr>
  </w:style>
  <w:style w:type="character" w:customStyle="1" w:styleId="a8">
    <w:name w:val="Нижний колонтитул Знак"/>
    <w:basedOn w:val="a0"/>
    <w:link w:val="a7"/>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ArialnparaL2">
    <w:name w:val="IASB Normal Arial nparaL2"/>
    <w:basedOn w:val="IASBNormalnparaL1"/>
    <w:pPr>
      <w:ind w:left="2347"/>
    </w:pPr>
    <w:rPr>
      <w:rFonts w:ascii="Arial" w:hAnsi="Arial"/>
    </w:rPr>
  </w:style>
  <w:style w:type="paragraph" w:customStyle="1" w:styleId="IASBNormalArialnparaL3">
    <w:name w:val="IASB Normal Arial nparaL3"/>
    <w:basedOn w:val="IASBNormalnparaL2"/>
    <w:pPr>
      <w:ind w:left="3129"/>
    </w:pPr>
    <w:rPr>
      <w:rFonts w:ascii="Arial" w:hAnsi="Arial"/>
    </w:rPr>
  </w:style>
  <w:style w:type="paragraph" w:customStyle="1" w:styleId="IASBNormalArialnparaL4">
    <w:name w:val="IASB Normal Arial nparaL4"/>
    <w:basedOn w:val="IASBNormalnparaL3"/>
    <w:pPr>
      <w:ind w:left="3912"/>
    </w:pPr>
    <w:rPr>
      <w:rFonts w:ascii="Arial" w:hAnsi="Arial"/>
    </w:rPr>
  </w:style>
  <w:style w:type="paragraph" w:customStyle="1" w:styleId="IASBNormalArialnparaL5">
    <w:name w:val="IASB Normal Arial nparaL5"/>
    <w:basedOn w:val="IASBNormalnparaL4"/>
    <w:pPr>
      <w:ind w:left="4694"/>
    </w:pPr>
    <w:rPr>
      <w:rFonts w:ascii="Arial" w:hAnsi="Arial"/>
    </w:r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NormalArialL2">
    <w:name w:val="IASB Normal Arial L2"/>
    <w:basedOn w:val="IASBNormalL1"/>
    <w:pPr>
      <w:ind w:left="1564"/>
    </w:pPr>
    <w:rPr>
      <w:rFonts w:ascii="Arial" w:hAnsi="Arial"/>
    </w:r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a"/>
    <w:qFormat/>
    <w:pPr>
      <w:spacing w:before="120"/>
    </w:pPr>
    <w:rPr>
      <w:b/>
      <w:sz w:val="19"/>
      <w:szCs w:val="20"/>
      <w:lang w:eastAsia="en-GB"/>
    </w:rPr>
  </w:style>
  <w:style w:type="paragraph" w:customStyle="1" w:styleId="IASBTableHeaderTNR">
    <w:name w:val="IASB Table Header TNR"/>
    <w:basedOn w:val="a"/>
    <w:qFormat/>
    <w:pPr>
      <w:keepNext/>
      <w:spacing w:before="120" w:after="200" w:line="276" w:lineRule="auto"/>
    </w:pPr>
    <w:rPr>
      <w:sz w:val="19"/>
      <w:szCs w:val="20"/>
      <w:lang w:eastAsia="en-GB"/>
    </w:rPr>
  </w:style>
  <w:style w:type="paragraph" w:customStyle="1" w:styleId="IASBTableTNR">
    <w:name w:val="IASB Table TNR"/>
    <w:basedOn w:val="a"/>
    <w:qFormat/>
    <w:pPr>
      <w:spacing w:before="120"/>
    </w:pPr>
    <w:rPr>
      <w:sz w:val="19"/>
      <w:szCs w:val="20"/>
      <w:lang w:eastAsia="en-GB"/>
    </w:rPr>
  </w:style>
  <w:style w:type="paragraph" w:customStyle="1" w:styleId="IASBTableNormal">
    <w:name w:val="IASB Table Normal"/>
    <w:basedOn w:val="a"/>
    <w:pPr>
      <w:spacing w:before="80" w:after="6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qFormat/>
    <w:pPr>
      <w:spacing w:after="60"/>
    </w:pPr>
    <w:rPr>
      <w:b/>
    </w:rPr>
  </w:style>
  <w:style w:type="paragraph" w:customStyle="1" w:styleId="IASBTableHeaderArial">
    <w:name w:val="IASB Table Header Arial"/>
    <w:basedOn w:val="IASBTableArial"/>
    <w:qFormat/>
    <w:pPr>
      <w:keepNext/>
      <w:spacing w:after="100"/>
    </w:pPr>
    <w:rPr>
      <w:b/>
    </w:rPr>
  </w:style>
  <w:style w:type="character" w:styleId="a9">
    <w:name w:val="endnote reference"/>
    <w:basedOn w:val="a0"/>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ArialL3">
    <w:name w:val="IASB Normal Arial L3"/>
    <w:basedOn w:val="IASBNormalL2"/>
    <w:qFormat/>
    <w:rsid w:val="0078108C"/>
    <w:pPr>
      <w:ind w:left="2268" w:hanging="708"/>
    </w:pPr>
    <w:rPr>
      <w:rFonts w:ascii="Arial" w:hAnsi="Arial"/>
    </w:r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ArialL4">
    <w:name w:val="IASB Normal Arial L4"/>
    <w:basedOn w:val="IASBNormalL3"/>
    <w:qFormat/>
    <w:rsid w:val="0078108C"/>
    <w:pPr>
      <w:ind w:left="2977"/>
    </w:pPr>
    <w:rPr>
      <w:rFonts w:ascii="Arial" w:hAnsi="Arial"/>
    </w:rPr>
  </w:style>
  <w:style w:type="paragraph" w:customStyle="1" w:styleId="IASBNormalL4P">
    <w:name w:val="IASB Normal L4P"/>
    <w:basedOn w:val="IASBNormalL3P"/>
    <w:qFormat/>
    <w:rsid w:val="0078108C"/>
    <w:pPr>
      <w:ind w:left="2977"/>
    </w:pPr>
  </w:style>
  <w:style w:type="paragraph" w:styleId="aa">
    <w:name w:val="Balloon Text"/>
    <w:basedOn w:val="a"/>
    <w:link w:val="ab"/>
    <w:uiPriority w:val="99"/>
    <w:semiHidden/>
    <w:unhideWhenUsed/>
    <w:rsid w:val="00647C16"/>
    <w:rPr>
      <w:rFonts w:ascii="Segoe UI" w:hAnsi="Segoe UI" w:cs="Segoe UI"/>
      <w:sz w:val="18"/>
      <w:szCs w:val="18"/>
    </w:rPr>
  </w:style>
  <w:style w:type="character" w:customStyle="1" w:styleId="ab">
    <w:name w:val="Текст выноски Знак"/>
    <w:basedOn w:val="a0"/>
    <w:link w:val="aa"/>
    <w:uiPriority w:val="99"/>
    <w:semiHidden/>
    <w:rsid w:val="00647C16"/>
    <w:rPr>
      <w:rFonts w:ascii="Segoe UI" w:hAnsi="Segoe UI" w:cs="Segoe UI"/>
      <w:sz w:val="18"/>
      <w:szCs w:val="18"/>
      <w:lang w:eastAsia="en-US"/>
    </w:rPr>
  </w:style>
  <w:style w:type="table" w:styleId="ac">
    <w:name w:val="Table Grid"/>
    <w:basedOn w:val="a1"/>
    <w:uiPriority w:val="39"/>
    <w:rsid w:val="002D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A0419"/>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20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3" ma:contentTypeDescription="Create a new document." ma:contentTypeScope="" ma:versionID="a00ceccedec665fe8fe17a11af972c81">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80c6889bd286bf214ab94711767450f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B851F-7149-40EE-8F24-CF765731E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30685-56FF-467A-A8BF-6A4AE307FFCB}">
  <ds:schemaRefs>
    <ds:schemaRef ds:uri="http://schemas.microsoft.com/sharepoint/v3/contenttype/forms"/>
  </ds:schemaRefs>
</ds:datastoreItem>
</file>

<file path=customXml/itemProps3.xml><?xml version="1.0" encoding="utf-8"?>
<ds:datastoreItem xmlns:ds="http://schemas.openxmlformats.org/officeDocument/2006/customXml" ds:itemID="{3A42EB23-2B13-41AB-8674-D543AA122E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ГУБИНА ТАТЬЯНА СЕРГЕЕВНА</cp:lastModifiedBy>
  <cp:revision>20</cp:revision>
  <cp:lastPrinted>2022-11-18T06:39:00Z</cp:lastPrinted>
  <dcterms:created xsi:type="dcterms:W3CDTF">2021-12-10T09:09:00Z</dcterms:created>
  <dcterms:modified xsi:type="dcterms:W3CDTF">2022-11-18T10:18:00Z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